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1FBCA" w14:textId="1B2148C0" w:rsidR="002922F5" w:rsidRDefault="00751B5C" w:rsidP="002922F5">
      <w:pPr>
        <w:jc w:val="center"/>
        <w:rPr>
          <w:rFonts w:ascii="Times New Roman" w:hAnsi="Times New Roman" w:cs="Times New Roman"/>
          <w:b/>
          <w:sz w:val="22"/>
          <w:szCs w:val="22"/>
        </w:rPr>
      </w:pPr>
      <w:r>
        <w:rPr>
          <w:rFonts w:ascii="Times New Roman" w:hAnsi="Times New Roman" w:cs="Times New Roman"/>
          <w:b/>
          <w:sz w:val="22"/>
          <w:szCs w:val="22"/>
        </w:rPr>
        <w:t>(6:2</w:t>
      </w:r>
      <w:r w:rsidR="00A823DC">
        <w:rPr>
          <w:rFonts w:ascii="Times New Roman" w:hAnsi="Times New Roman" w:cs="Times New Roman"/>
          <w:b/>
          <w:sz w:val="22"/>
          <w:szCs w:val="22"/>
        </w:rPr>
        <w:t>1</w:t>
      </w:r>
      <w:r>
        <w:rPr>
          <w:rFonts w:ascii="Times New Roman" w:hAnsi="Times New Roman" w:cs="Times New Roman"/>
          <w:b/>
          <w:sz w:val="22"/>
          <w:szCs w:val="22"/>
        </w:rPr>
        <w:t xml:space="preserve">) </w:t>
      </w:r>
      <w:r w:rsidR="002922F5" w:rsidRPr="00A61A25">
        <w:rPr>
          <w:rFonts w:ascii="Times New Roman" w:hAnsi="Times New Roman" w:cs="Times New Roman"/>
          <w:b/>
          <w:sz w:val="22"/>
          <w:szCs w:val="22"/>
        </w:rPr>
        <w:t xml:space="preserve">De Las Casas and </w:t>
      </w:r>
      <w:proofErr w:type="spellStart"/>
      <w:r w:rsidR="002922F5" w:rsidRPr="00A61A25">
        <w:rPr>
          <w:rFonts w:ascii="Times New Roman" w:hAnsi="Times New Roman" w:cs="Times New Roman"/>
          <w:b/>
          <w:sz w:val="22"/>
          <w:szCs w:val="22"/>
        </w:rPr>
        <w:t>Sepúlveda</w:t>
      </w:r>
      <w:proofErr w:type="spellEnd"/>
      <w:r w:rsidR="002922F5" w:rsidRPr="00A61A25">
        <w:rPr>
          <w:rFonts w:ascii="Times New Roman" w:hAnsi="Times New Roman" w:cs="Times New Roman"/>
          <w:b/>
          <w:sz w:val="22"/>
          <w:szCs w:val="22"/>
        </w:rPr>
        <w:t xml:space="preserve"> Deba</w:t>
      </w:r>
      <w:r w:rsidR="002922F5">
        <w:rPr>
          <w:rFonts w:ascii="Times New Roman" w:hAnsi="Times New Roman" w:cs="Times New Roman"/>
          <w:b/>
          <w:sz w:val="22"/>
          <w:szCs w:val="22"/>
        </w:rPr>
        <w:t>te Treatment of the Indigenous Peoples of the Americas</w:t>
      </w:r>
    </w:p>
    <w:p w14:paraId="5C356C91" w14:textId="77777777" w:rsidR="002922F5" w:rsidRDefault="002922F5" w:rsidP="002922F5">
      <w:pPr>
        <w:rPr>
          <w:rFonts w:ascii="Times New Roman" w:hAnsi="Times New Roman" w:cs="Times New Roman"/>
          <w:b/>
          <w:sz w:val="22"/>
          <w:szCs w:val="22"/>
        </w:rPr>
      </w:pPr>
    </w:p>
    <w:tbl>
      <w:tblPr>
        <w:tblStyle w:val="TableGrid"/>
        <w:tblW w:w="10278" w:type="dxa"/>
        <w:tblLook w:val="04A0" w:firstRow="1" w:lastRow="0" w:firstColumn="1" w:lastColumn="0" w:noHBand="0" w:noVBand="1"/>
      </w:tblPr>
      <w:tblGrid>
        <w:gridCol w:w="3176"/>
        <w:gridCol w:w="1972"/>
        <w:gridCol w:w="1530"/>
        <w:gridCol w:w="3600"/>
      </w:tblGrid>
      <w:tr w:rsidR="002922F5" w14:paraId="7CD44AB3" w14:textId="77777777" w:rsidTr="002922F5">
        <w:tc>
          <w:tcPr>
            <w:tcW w:w="3176" w:type="dxa"/>
            <w:tcBorders>
              <w:bottom w:val="single" w:sz="4" w:space="0" w:color="auto"/>
              <w:right w:val="single" w:sz="4" w:space="0" w:color="auto"/>
            </w:tcBorders>
          </w:tcPr>
          <w:p w14:paraId="0892DE01" w14:textId="77777777" w:rsidR="002922F5" w:rsidRDefault="002922F5" w:rsidP="00BB40D9">
            <w:pPr>
              <w:rPr>
                <w:rFonts w:ascii="Times New Roman" w:hAnsi="Times New Roman" w:cs="Times New Roman"/>
                <w:sz w:val="22"/>
                <w:szCs w:val="22"/>
              </w:rPr>
            </w:pPr>
            <w:r>
              <w:rPr>
                <w:rFonts w:ascii="Times New Roman" w:hAnsi="Times New Roman" w:cs="Times New Roman"/>
                <w:noProof/>
                <w:sz w:val="22"/>
                <w:szCs w:val="22"/>
              </w:rPr>
              <w:drawing>
                <wp:inline distT="0" distB="0" distL="0" distR="0" wp14:anchorId="2EDAB90D" wp14:editId="17FA0409">
                  <wp:extent cx="1828505" cy="28575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an_Ginés_de_Sepúlveda-182x300.jpg"/>
                          <pic:cNvPicPr/>
                        </pic:nvPicPr>
                        <pic:blipFill>
                          <a:blip r:embed="rId4">
                            <a:extLst>
                              <a:ext uri="{28A0092B-C50C-407E-A947-70E740481C1C}">
                                <a14:useLocalDpi xmlns:a14="http://schemas.microsoft.com/office/drawing/2010/main" val="0"/>
                              </a:ext>
                            </a:extLst>
                          </a:blip>
                          <a:stretch>
                            <a:fillRect/>
                          </a:stretch>
                        </pic:blipFill>
                        <pic:spPr>
                          <a:xfrm>
                            <a:off x="0" y="0"/>
                            <a:ext cx="1829193" cy="2858576"/>
                          </a:xfrm>
                          <a:prstGeom prst="rect">
                            <a:avLst/>
                          </a:prstGeom>
                        </pic:spPr>
                      </pic:pic>
                    </a:graphicData>
                  </a:graphic>
                </wp:inline>
              </w:drawing>
            </w:r>
          </w:p>
        </w:tc>
        <w:tc>
          <w:tcPr>
            <w:tcW w:w="3502" w:type="dxa"/>
            <w:gridSpan w:val="2"/>
            <w:tcBorders>
              <w:top w:val="nil"/>
              <w:left w:val="single" w:sz="4" w:space="0" w:color="auto"/>
              <w:bottom w:val="nil"/>
              <w:right w:val="single" w:sz="4" w:space="0" w:color="auto"/>
            </w:tcBorders>
          </w:tcPr>
          <w:p w14:paraId="055B925A" w14:textId="77777777" w:rsidR="002922F5" w:rsidRPr="00DD6F34" w:rsidRDefault="002922F5" w:rsidP="00BB40D9">
            <w:pPr>
              <w:rPr>
                <w:rFonts w:ascii="Times New Roman" w:hAnsi="Times New Roman" w:cs="Times New Roman"/>
                <w:b/>
                <w:sz w:val="22"/>
                <w:szCs w:val="22"/>
              </w:rPr>
            </w:pPr>
            <w:r w:rsidRPr="00DD6F34">
              <w:rPr>
                <w:rFonts w:ascii="Times New Roman" w:hAnsi="Times New Roman" w:cs="Times New Roman"/>
                <w:b/>
                <w:sz w:val="22"/>
                <w:szCs w:val="22"/>
              </w:rPr>
              <w:t>Questions</w:t>
            </w:r>
          </w:p>
          <w:p w14:paraId="250A2CD6" w14:textId="77777777" w:rsidR="002922F5" w:rsidRPr="00DD6F34" w:rsidRDefault="002922F5" w:rsidP="00BB40D9">
            <w:pPr>
              <w:rPr>
                <w:rFonts w:ascii="Times New Roman" w:hAnsi="Times New Roman" w:cs="Times New Roman"/>
                <w:sz w:val="22"/>
                <w:szCs w:val="22"/>
              </w:rPr>
            </w:pPr>
            <w:r>
              <w:rPr>
                <w:rFonts w:ascii="Times New Roman" w:hAnsi="Times New Roman" w:cs="Times New Roman"/>
                <w:sz w:val="22"/>
                <w:szCs w:val="22"/>
              </w:rPr>
              <w:t xml:space="preserve">1. What term does </w:t>
            </w:r>
            <w:proofErr w:type="spellStart"/>
            <w:r w:rsidRPr="00DD6F34">
              <w:rPr>
                <w:rFonts w:ascii="Times New Roman" w:eastAsia="Times New Roman" w:hAnsi="Times New Roman" w:cs="Times New Roman"/>
                <w:color w:val="333333"/>
                <w:sz w:val="22"/>
                <w:szCs w:val="22"/>
                <w:shd w:val="clear" w:color="auto" w:fill="FFFFFF"/>
              </w:rPr>
              <w:t>Sepúlveda</w:t>
            </w:r>
            <w:proofErr w:type="spellEnd"/>
            <w:r>
              <w:rPr>
                <w:rFonts w:ascii="Times New Roman" w:eastAsia="Times New Roman" w:hAnsi="Times New Roman" w:cs="Times New Roman"/>
                <w:color w:val="333333"/>
                <w:sz w:val="22"/>
                <w:szCs w:val="22"/>
                <w:shd w:val="clear" w:color="auto" w:fill="FFFFFF"/>
              </w:rPr>
              <w:t xml:space="preserve"> use to describe the indigenous people of the Americas?</w:t>
            </w:r>
          </w:p>
          <w:p w14:paraId="1266D2AE" w14:textId="77777777" w:rsidR="002922F5" w:rsidRDefault="002922F5" w:rsidP="00BB40D9">
            <w:pPr>
              <w:rPr>
                <w:rFonts w:ascii="Times New Roman" w:hAnsi="Times New Roman" w:cs="Times New Roman"/>
                <w:sz w:val="22"/>
                <w:szCs w:val="22"/>
              </w:rPr>
            </w:pPr>
            <w:r>
              <w:rPr>
                <w:rFonts w:ascii="Times New Roman" w:hAnsi="Times New Roman" w:cs="Times New Roman"/>
                <w:sz w:val="22"/>
                <w:szCs w:val="22"/>
              </w:rPr>
              <w:t xml:space="preserve">2. According to </w:t>
            </w:r>
            <w:proofErr w:type="spellStart"/>
            <w:r w:rsidRPr="00DD6F34">
              <w:rPr>
                <w:rFonts w:ascii="Times New Roman" w:eastAsia="Times New Roman" w:hAnsi="Times New Roman" w:cs="Times New Roman"/>
                <w:color w:val="333333"/>
                <w:sz w:val="22"/>
                <w:szCs w:val="22"/>
                <w:shd w:val="clear" w:color="auto" w:fill="FFFFFF"/>
              </w:rPr>
              <w:t>Sepúlveda</w:t>
            </w:r>
            <w:proofErr w:type="spellEnd"/>
            <w:r w:rsidRPr="00DD6F34">
              <w:rPr>
                <w:rFonts w:ascii="Times New Roman" w:eastAsia="Times New Roman" w:hAnsi="Times New Roman" w:cs="Times New Roman"/>
                <w:color w:val="333333"/>
                <w:sz w:val="22"/>
                <w:szCs w:val="22"/>
                <w:shd w:val="clear" w:color="auto" w:fill="FFFFFF"/>
              </w:rPr>
              <w:t xml:space="preserve">, when </w:t>
            </w:r>
            <w:r>
              <w:rPr>
                <w:rFonts w:ascii="Times New Roman" w:eastAsia="Times New Roman" w:hAnsi="Times New Roman" w:cs="Times New Roman"/>
                <w:color w:val="333333"/>
                <w:sz w:val="22"/>
                <w:szCs w:val="22"/>
                <w:shd w:val="clear" w:color="auto" w:fill="FFFFFF"/>
              </w:rPr>
              <w:t>are</w:t>
            </w:r>
            <w:r w:rsidRPr="00DD6F34">
              <w:rPr>
                <w:rFonts w:ascii="Times New Roman" w:eastAsia="Times New Roman" w:hAnsi="Times New Roman" w:cs="Times New Roman"/>
                <w:color w:val="333333"/>
                <w:sz w:val="22"/>
                <w:szCs w:val="22"/>
                <w:shd w:val="clear" w:color="auto" w:fill="FFFFFF"/>
              </w:rPr>
              <w:t xml:space="preserve"> </w:t>
            </w:r>
            <w:r>
              <w:rPr>
                <w:rFonts w:ascii="Times New Roman" w:eastAsia="Times New Roman" w:hAnsi="Times New Roman" w:cs="Times New Roman"/>
                <w:color w:val="333333"/>
                <w:sz w:val="22"/>
                <w:szCs w:val="22"/>
                <w:shd w:val="clear" w:color="auto" w:fill="FFFFFF"/>
              </w:rPr>
              <w:t>slavery</w:t>
            </w:r>
            <w:r w:rsidRPr="00DD6F34">
              <w:rPr>
                <w:rFonts w:ascii="Times New Roman" w:eastAsia="Times New Roman" w:hAnsi="Times New Roman" w:cs="Times New Roman"/>
                <w:color w:val="333333"/>
                <w:sz w:val="22"/>
                <w:szCs w:val="22"/>
                <w:shd w:val="clear" w:color="auto" w:fill="FFFFFF"/>
              </w:rPr>
              <w:t xml:space="preserve"> </w:t>
            </w:r>
            <w:r>
              <w:rPr>
                <w:rFonts w:ascii="Times New Roman" w:eastAsia="Times New Roman" w:hAnsi="Times New Roman" w:cs="Times New Roman"/>
                <w:color w:val="333333"/>
                <w:sz w:val="22"/>
                <w:szCs w:val="22"/>
                <w:shd w:val="clear" w:color="auto" w:fill="FFFFFF"/>
              </w:rPr>
              <w:t xml:space="preserve">and “booty” </w:t>
            </w:r>
            <w:r w:rsidRPr="00DD6F34">
              <w:rPr>
                <w:rFonts w:ascii="Times New Roman" w:eastAsia="Times New Roman" w:hAnsi="Times New Roman" w:cs="Times New Roman"/>
                <w:color w:val="333333"/>
                <w:sz w:val="22"/>
                <w:szCs w:val="22"/>
                <w:shd w:val="clear" w:color="auto" w:fill="FFFFFF"/>
              </w:rPr>
              <w:t>justified?</w:t>
            </w:r>
          </w:p>
          <w:p w14:paraId="0DAD14E3" w14:textId="77777777" w:rsidR="002922F5" w:rsidRDefault="002922F5" w:rsidP="00BB40D9">
            <w:pPr>
              <w:rPr>
                <w:rFonts w:ascii="Times New Roman" w:hAnsi="Times New Roman" w:cs="Times New Roman"/>
                <w:sz w:val="22"/>
                <w:szCs w:val="22"/>
              </w:rPr>
            </w:pPr>
            <w:r>
              <w:rPr>
                <w:rFonts w:ascii="Times New Roman" w:hAnsi="Times New Roman" w:cs="Times New Roman"/>
                <w:sz w:val="22"/>
                <w:szCs w:val="22"/>
              </w:rPr>
              <w:t xml:space="preserve">3. What does </w:t>
            </w:r>
            <w:proofErr w:type="spellStart"/>
            <w:r w:rsidRPr="00DD6F34">
              <w:rPr>
                <w:rFonts w:ascii="Times New Roman" w:eastAsia="Times New Roman" w:hAnsi="Times New Roman" w:cs="Times New Roman"/>
                <w:color w:val="333333"/>
                <w:sz w:val="22"/>
                <w:szCs w:val="22"/>
                <w:shd w:val="clear" w:color="auto" w:fill="FFFFFF"/>
              </w:rPr>
              <w:t>Sepúlveda</w:t>
            </w:r>
            <w:proofErr w:type="spellEnd"/>
            <w:r>
              <w:rPr>
                <w:rFonts w:ascii="Times New Roman" w:eastAsia="Times New Roman" w:hAnsi="Times New Roman" w:cs="Times New Roman"/>
                <w:color w:val="333333"/>
                <w:sz w:val="22"/>
                <w:szCs w:val="22"/>
                <w:shd w:val="clear" w:color="auto" w:fill="FFFFFF"/>
              </w:rPr>
              <w:t xml:space="preserve"> recommend for governance in the Americas?</w:t>
            </w:r>
          </w:p>
          <w:p w14:paraId="4406FA5E" w14:textId="77777777" w:rsidR="002922F5" w:rsidRDefault="002922F5" w:rsidP="00BB40D9">
            <w:pPr>
              <w:rPr>
                <w:rFonts w:ascii="Times New Roman" w:eastAsia="Times New Roman" w:hAnsi="Times New Roman" w:cs="Times New Roman"/>
                <w:color w:val="333333"/>
                <w:sz w:val="22"/>
                <w:szCs w:val="22"/>
                <w:shd w:val="clear" w:color="auto" w:fill="FFFFFF"/>
              </w:rPr>
            </w:pPr>
            <w:r>
              <w:rPr>
                <w:rFonts w:ascii="Times New Roman" w:hAnsi="Times New Roman" w:cs="Times New Roman"/>
                <w:sz w:val="22"/>
                <w:szCs w:val="22"/>
              </w:rPr>
              <w:t xml:space="preserve">4. What evidence does De </w:t>
            </w:r>
            <w:proofErr w:type="gramStart"/>
            <w:r>
              <w:rPr>
                <w:rFonts w:ascii="Times New Roman" w:hAnsi="Times New Roman" w:cs="Times New Roman"/>
                <w:sz w:val="22"/>
                <w:szCs w:val="22"/>
              </w:rPr>
              <w:t>Las</w:t>
            </w:r>
            <w:proofErr w:type="gramEnd"/>
            <w:r>
              <w:rPr>
                <w:rFonts w:ascii="Times New Roman" w:hAnsi="Times New Roman" w:cs="Times New Roman"/>
                <w:sz w:val="22"/>
                <w:szCs w:val="22"/>
              </w:rPr>
              <w:t xml:space="preserve"> Casas offer to refute claims made by </w:t>
            </w:r>
            <w:proofErr w:type="spellStart"/>
            <w:r w:rsidRPr="00DD6F34">
              <w:rPr>
                <w:rFonts w:ascii="Times New Roman" w:eastAsia="Times New Roman" w:hAnsi="Times New Roman" w:cs="Times New Roman"/>
                <w:color w:val="333333"/>
                <w:sz w:val="22"/>
                <w:szCs w:val="22"/>
                <w:shd w:val="clear" w:color="auto" w:fill="FFFFFF"/>
              </w:rPr>
              <w:t>Sepúlveda</w:t>
            </w:r>
            <w:proofErr w:type="spellEnd"/>
            <w:r>
              <w:rPr>
                <w:rFonts w:ascii="Times New Roman" w:eastAsia="Times New Roman" w:hAnsi="Times New Roman" w:cs="Times New Roman"/>
                <w:color w:val="333333"/>
                <w:sz w:val="22"/>
                <w:szCs w:val="22"/>
                <w:shd w:val="clear" w:color="auto" w:fill="FFFFFF"/>
              </w:rPr>
              <w:t>?</w:t>
            </w:r>
          </w:p>
          <w:p w14:paraId="5ABFC0F0" w14:textId="77777777" w:rsidR="002922F5" w:rsidRDefault="002922F5" w:rsidP="00BB40D9">
            <w:pPr>
              <w:rPr>
                <w:rFonts w:ascii="Times New Roman" w:eastAsia="Times New Roman" w:hAnsi="Times New Roman" w:cs="Times New Roman"/>
                <w:color w:val="333333"/>
                <w:sz w:val="22"/>
                <w:szCs w:val="22"/>
                <w:shd w:val="clear" w:color="auto" w:fill="FFFFFF"/>
              </w:rPr>
            </w:pPr>
            <w:r>
              <w:rPr>
                <w:rFonts w:ascii="Times New Roman" w:eastAsia="Times New Roman" w:hAnsi="Times New Roman" w:cs="Times New Roman"/>
                <w:color w:val="333333"/>
                <w:sz w:val="22"/>
                <w:szCs w:val="22"/>
                <w:shd w:val="clear" w:color="auto" w:fill="FFFFFF"/>
              </w:rPr>
              <w:t>5. If you were in the audience during this debate, what questions would you ask them?</w:t>
            </w:r>
          </w:p>
          <w:p w14:paraId="09599A65" w14:textId="77777777" w:rsidR="002922F5" w:rsidRDefault="002922F5" w:rsidP="00BB40D9">
            <w:pPr>
              <w:rPr>
                <w:rFonts w:ascii="Times New Roman" w:hAnsi="Times New Roman" w:cs="Times New Roman"/>
                <w:sz w:val="22"/>
                <w:szCs w:val="22"/>
              </w:rPr>
            </w:pPr>
            <w:r>
              <w:rPr>
                <w:rFonts w:ascii="Times New Roman" w:eastAsia="Times New Roman" w:hAnsi="Times New Roman" w:cs="Times New Roman"/>
                <w:color w:val="333333"/>
                <w:sz w:val="22"/>
                <w:szCs w:val="22"/>
                <w:shd w:val="clear" w:color="auto" w:fill="FFFFFF"/>
              </w:rPr>
              <w:t>6. Whose position do you agree with more? Why?</w:t>
            </w:r>
          </w:p>
        </w:tc>
        <w:tc>
          <w:tcPr>
            <w:tcW w:w="3600" w:type="dxa"/>
            <w:tcBorders>
              <w:left w:val="single" w:sz="4" w:space="0" w:color="auto"/>
              <w:bottom w:val="single" w:sz="4" w:space="0" w:color="auto"/>
            </w:tcBorders>
          </w:tcPr>
          <w:p w14:paraId="4D84DB0C" w14:textId="77777777" w:rsidR="002922F5" w:rsidRDefault="002922F5" w:rsidP="00BB40D9">
            <w:pPr>
              <w:rPr>
                <w:rFonts w:ascii="Times New Roman" w:hAnsi="Times New Roman" w:cs="Times New Roman"/>
                <w:sz w:val="22"/>
                <w:szCs w:val="22"/>
              </w:rPr>
            </w:pPr>
            <w:r>
              <w:rPr>
                <w:rFonts w:ascii="Times New Roman" w:hAnsi="Times New Roman" w:cs="Times New Roman"/>
                <w:noProof/>
                <w:sz w:val="22"/>
                <w:szCs w:val="22"/>
              </w:rPr>
              <w:drawing>
                <wp:inline distT="0" distB="0" distL="0" distR="0" wp14:anchorId="6D799EB7" wp14:editId="6DCABD53">
                  <wp:extent cx="1945386" cy="2857500"/>
                  <wp:effectExtent l="0" t="0" r="1079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Casas-222x300.jpg"/>
                          <pic:cNvPicPr/>
                        </pic:nvPicPr>
                        <pic:blipFill>
                          <a:blip r:embed="rId5">
                            <a:extLst>
                              <a:ext uri="{28A0092B-C50C-407E-A947-70E740481C1C}">
                                <a14:useLocalDpi xmlns:a14="http://schemas.microsoft.com/office/drawing/2010/main" val="0"/>
                              </a:ext>
                            </a:extLst>
                          </a:blip>
                          <a:stretch>
                            <a:fillRect/>
                          </a:stretch>
                        </pic:blipFill>
                        <pic:spPr>
                          <a:xfrm>
                            <a:off x="0" y="0"/>
                            <a:ext cx="1945386" cy="2857500"/>
                          </a:xfrm>
                          <a:prstGeom prst="rect">
                            <a:avLst/>
                          </a:prstGeom>
                        </pic:spPr>
                      </pic:pic>
                    </a:graphicData>
                  </a:graphic>
                </wp:inline>
              </w:drawing>
            </w:r>
          </w:p>
        </w:tc>
      </w:tr>
      <w:tr w:rsidR="002922F5" w14:paraId="7F7BE7BB" w14:textId="77777777" w:rsidTr="002922F5">
        <w:tc>
          <w:tcPr>
            <w:tcW w:w="5148" w:type="dxa"/>
            <w:gridSpan w:val="2"/>
            <w:tcBorders>
              <w:top w:val="nil"/>
              <w:left w:val="nil"/>
              <w:bottom w:val="nil"/>
              <w:right w:val="nil"/>
            </w:tcBorders>
          </w:tcPr>
          <w:p w14:paraId="7742B214" w14:textId="77777777" w:rsidR="002922F5" w:rsidRDefault="002922F5" w:rsidP="00BB40D9">
            <w:pPr>
              <w:rPr>
                <w:rFonts w:ascii="Times New Roman" w:hAnsi="Times New Roman" w:cs="Times New Roman"/>
                <w:sz w:val="22"/>
                <w:szCs w:val="22"/>
              </w:rPr>
            </w:pPr>
            <w:r w:rsidRPr="00A61A25">
              <w:rPr>
                <w:rFonts w:ascii="Times New Roman" w:eastAsia="Times New Roman" w:hAnsi="Times New Roman" w:cs="Times New Roman"/>
                <w:b/>
                <w:color w:val="333333"/>
                <w:sz w:val="22"/>
                <w:szCs w:val="22"/>
                <w:shd w:val="clear" w:color="auto" w:fill="FFFFFF"/>
              </w:rPr>
              <w:t xml:space="preserve">Theologian Juan </w:t>
            </w:r>
            <w:proofErr w:type="spellStart"/>
            <w:r w:rsidRPr="00A61A25">
              <w:rPr>
                <w:rFonts w:ascii="Times New Roman" w:eastAsia="Times New Roman" w:hAnsi="Times New Roman" w:cs="Times New Roman"/>
                <w:b/>
                <w:color w:val="333333"/>
                <w:sz w:val="22"/>
                <w:szCs w:val="22"/>
                <w:shd w:val="clear" w:color="auto" w:fill="FFFFFF"/>
              </w:rPr>
              <w:t>Ginés de Sepúlveda</w:t>
            </w:r>
            <w:proofErr w:type="spellEnd"/>
          </w:p>
        </w:tc>
        <w:tc>
          <w:tcPr>
            <w:tcW w:w="5130" w:type="dxa"/>
            <w:gridSpan w:val="2"/>
            <w:tcBorders>
              <w:top w:val="nil"/>
              <w:left w:val="nil"/>
              <w:bottom w:val="nil"/>
              <w:right w:val="nil"/>
            </w:tcBorders>
          </w:tcPr>
          <w:p w14:paraId="54B6AF9C" w14:textId="77777777" w:rsidR="002922F5" w:rsidRDefault="002922F5" w:rsidP="00BB40D9">
            <w:pPr>
              <w:rPr>
                <w:rFonts w:ascii="Times New Roman" w:hAnsi="Times New Roman" w:cs="Times New Roman"/>
                <w:sz w:val="22"/>
                <w:szCs w:val="22"/>
              </w:rPr>
            </w:pPr>
            <w:r>
              <w:rPr>
                <w:rFonts w:ascii="Times New Roman" w:eastAsia="Times New Roman" w:hAnsi="Times New Roman" w:cs="Times New Roman"/>
                <w:b/>
                <w:color w:val="333333"/>
                <w:sz w:val="22"/>
                <w:szCs w:val="22"/>
                <w:shd w:val="clear" w:color="auto" w:fill="FFFFFF"/>
              </w:rPr>
              <w:t xml:space="preserve">                              </w:t>
            </w:r>
            <w:r w:rsidRPr="00A61A25">
              <w:rPr>
                <w:rFonts w:ascii="Times New Roman" w:eastAsia="Times New Roman" w:hAnsi="Times New Roman" w:cs="Times New Roman"/>
                <w:b/>
                <w:color w:val="333333"/>
                <w:sz w:val="22"/>
                <w:szCs w:val="22"/>
                <w:shd w:val="clear" w:color="auto" w:fill="FFFFFF"/>
              </w:rPr>
              <w:t>Fray Bartolomé de Las Casas</w:t>
            </w:r>
          </w:p>
        </w:tc>
      </w:tr>
      <w:tr w:rsidR="002922F5" w14:paraId="3BBEE489" w14:textId="77777777" w:rsidTr="002922F5">
        <w:tc>
          <w:tcPr>
            <w:tcW w:w="5148" w:type="dxa"/>
            <w:gridSpan w:val="2"/>
          </w:tcPr>
          <w:p w14:paraId="4F75FEFF" w14:textId="77777777" w:rsidR="002922F5" w:rsidRDefault="002922F5" w:rsidP="00BB40D9">
            <w:pPr>
              <w:rPr>
                <w:rFonts w:ascii="Times New Roman" w:hAnsi="Times New Roman" w:cs="Times New Roman"/>
                <w:sz w:val="22"/>
                <w:szCs w:val="22"/>
              </w:rPr>
            </w:pPr>
            <w:r>
              <w:rPr>
                <w:rFonts w:ascii="Times New Roman" w:hAnsi="Times New Roman" w:cs="Times New Roman"/>
                <w:sz w:val="22"/>
                <w:szCs w:val="22"/>
              </w:rPr>
              <w:t xml:space="preserve"> “</w:t>
            </w:r>
            <w:r w:rsidRPr="00CD697A">
              <w:rPr>
                <w:rFonts w:ascii="Times New Roman" w:hAnsi="Times New Roman" w:cs="Times New Roman"/>
                <w:sz w:val="22"/>
                <w:szCs w:val="22"/>
              </w:rPr>
              <w:t>The servitude contracted in a just war is legal, and the booty acquired becomes the rightful possession of the victor. But concerning these barbarians, the plight of the Indians defeated by Spanish arms in formally declared war is very different from the circumstances of those who, through prudence or fear, delivered themselves to the authority of the Christians. Just as in the former case t</w:t>
            </w:r>
            <w:r>
              <w:rPr>
                <w:rFonts w:ascii="Times New Roman" w:hAnsi="Times New Roman" w:cs="Times New Roman"/>
                <w:sz w:val="22"/>
                <w:szCs w:val="22"/>
              </w:rPr>
              <w:t>he victorious prince may deter</w:t>
            </w:r>
            <w:r w:rsidRPr="00CD697A">
              <w:rPr>
                <w:rFonts w:ascii="Times New Roman" w:hAnsi="Times New Roman" w:cs="Times New Roman"/>
                <w:sz w:val="22"/>
                <w:szCs w:val="22"/>
              </w:rPr>
              <w:t xml:space="preserve">mine, according to his will and right and bearing the public good in mind, the fate of the vanquished, in the latter both civil laws and </w:t>
            </w:r>
            <w:r w:rsidRPr="003B48B9">
              <w:rPr>
                <w:rFonts w:ascii="Times New Roman" w:hAnsi="Times New Roman" w:cs="Times New Roman"/>
                <w:i/>
                <w:sz w:val="22"/>
                <w:szCs w:val="22"/>
              </w:rPr>
              <w:t>jus gentium</w:t>
            </w:r>
            <w:r w:rsidRPr="00CD697A">
              <w:rPr>
                <w:rFonts w:ascii="Times New Roman" w:hAnsi="Times New Roman" w:cs="Times New Roman"/>
                <w:sz w:val="22"/>
                <w:szCs w:val="22"/>
              </w:rPr>
              <w:t xml:space="preserve"> </w:t>
            </w:r>
            <w:r>
              <w:rPr>
                <w:rFonts w:ascii="Times New Roman" w:hAnsi="Times New Roman" w:cs="Times New Roman"/>
                <w:sz w:val="22"/>
                <w:szCs w:val="22"/>
              </w:rPr>
              <w:t xml:space="preserve">(international law) </w:t>
            </w:r>
            <w:r w:rsidRPr="00CD697A">
              <w:rPr>
                <w:rFonts w:ascii="Times New Roman" w:hAnsi="Times New Roman" w:cs="Times New Roman"/>
                <w:sz w:val="22"/>
                <w:szCs w:val="22"/>
              </w:rPr>
              <w:t>would rule unjust to deprive the natives of their goods and to reduce them to slavery; it is, however, licit to keep them as stipendiaries and tributaries as befitting their nature and condition.</w:t>
            </w:r>
            <w:r>
              <w:rPr>
                <w:rFonts w:ascii="Times New Roman" w:hAnsi="Times New Roman" w:cs="Times New Roman"/>
                <w:sz w:val="22"/>
                <w:szCs w:val="22"/>
              </w:rPr>
              <w:t>”</w:t>
            </w:r>
          </w:p>
          <w:p w14:paraId="7CC46575" w14:textId="77777777" w:rsidR="002922F5" w:rsidRPr="00CD697A" w:rsidRDefault="002922F5" w:rsidP="00BB40D9">
            <w:pPr>
              <w:rPr>
                <w:rFonts w:ascii="Times New Roman" w:hAnsi="Times New Roman" w:cs="Times New Roman"/>
                <w:sz w:val="22"/>
                <w:szCs w:val="22"/>
              </w:rPr>
            </w:pPr>
          </w:p>
          <w:p w14:paraId="15753E21" w14:textId="77777777" w:rsidR="002922F5" w:rsidRDefault="002922F5" w:rsidP="00BB40D9">
            <w:pPr>
              <w:rPr>
                <w:rFonts w:ascii="Times New Roman" w:hAnsi="Times New Roman" w:cs="Times New Roman"/>
                <w:sz w:val="22"/>
                <w:szCs w:val="22"/>
              </w:rPr>
            </w:pPr>
            <w:r>
              <w:rPr>
                <w:rFonts w:ascii="Times New Roman" w:hAnsi="Times New Roman" w:cs="Times New Roman"/>
                <w:sz w:val="22"/>
                <w:szCs w:val="22"/>
              </w:rPr>
              <w:t>“</w:t>
            </w:r>
            <w:r w:rsidRPr="00CD697A">
              <w:rPr>
                <w:rFonts w:ascii="Times New Roman" w:hAnsi="Times New Roman" w:cs="Times New Roman"/>
                <w:sz w:val="22"/>
                <w:szCs w:val="22"/>
              </w:rPr>
              <w:t>The nature of</w:t>
            </w:r>
            <w:r>
              <w:rPr>
                <w:rFonts w:ascii="Times New Roman" w:hAnsi="Times New Roman" w:cs="Times New Roman"/>
                <w:sz w:val="22"/>
                <w:szCs w:val="22"/>
              </w:rPr>
              <w:t xml:space="preserve"> their governance over the bar</w:t>
            </w:r>
            <w:r w:rsidRPr="00CD697A">
              <w:rPr>
                <w:rFonts w:ascii="Times New Roman" w:hAnsi="Times New Roman" w:cs="Times New Roman"/>
                <w:sz w:val="22"/>
                <w:szCs w:val="22"/>
              </w:rPr>
              <w:t>barians must be such that the latter will not be given, through the granting of a degree of freedom unwar</w:t>
            </w:r>
            <w:r>
              <w:rPr>
                <w:rFonts w:ascii="Times New Roman" w:hAnsi="Times New Roman" w:cs="Times New Roman"/>
                <w:sz w:val="22"/>
                <w:szCs w:val="22"/>
              </w:rPr>
              <w:t>ranted by their nature and con</w:t>
            </w:r>
            <w:r w:rsidRPr="00CD697A">
              <w:rPr>
                <w:rFonts w:ascii="Times New Roman" w:hAnsi="Times New Roman" w:cs="Times New Roman"/>
                <w:sz w:val="22"/>
                <w:szCs w:val="22"/>
              </w:rPr>
              <w:t>dition, the opportunity to return to their primitive and evil ways; on the other hand, they must not be oppressed wit</w:t>
            </w:r>
            <w:r>
              <w:rPr>
                <w:rFonts w:ascii="Times New Roman" w:hAnsi="Times New Roman" w:cs="Times New Roman"/>
                <w:sz w:val="22"/>
                <w:szCs w:val="22"/>
              </w:rPr>
              <w:t>h harsh rule and servile treat</w:t>
            </w:r>
            <w:r w:rsidRPr="00CD697A">
              <w:rPr>
                <w:rFonts w:ascii="Times New Roman" w:hAnsi="Times New Roman" w:cs="Times New Roman"/>
                <w:sz w:val="22"/>
                <w:szCs w:val="22"/>
              </w:rPr>
              <w:t>ment, for, tired of servitude and indignity, they may attempt to break the yoke to the peril of the Spaniards.</w:t>
            </w:r>
            <w:r>
              <w:rPr>
                <w:rFonts w:ascii="Times New Roman" w:hAnsi="Times New Roman" w:cs="Times New Roman"/>
                <w:sz w:val="22"/>
                <w:szCs w:val="22"/>
              </w:rPr>
              <w:t>”</w:t>
            </w:r>
          </w:p>
        </w:tc>
        <w:tc>
          <w:tcPr>
            <w:tcW w:w="5130" w:type="dxa"/>
            <w:gridSpan w:val="2"/>
          </w:tcPr>
          <w:p w14:paraId="4DDD3ECC" w14:textId="77777777" w:rsidR="002922F5" w:rsidRDefault="002922F5" w:rsidP="00BB40D9">
            <w:pPr>
              <w:rPr>
                <w:rFonts w:ascii="Times New Roman" w:hAnsi="Times New Roman" w:cs="Times New Roman"/>
                <w:sz w:val="22"/>
                <w:szCs w:val="22"/>
              </w:rPr>
            </w:pPr>
            <w:r>
              <w:rPr>
                <w:rFonts w:ascii="Times New Roman" w:hAnsi="Times New Roman" w:cs="Times New Roman"/>
                <w:sz w:val="22"/>
                <w:szCs w:val="22"/>
              </w:rPr>
              <w:t>“A</w:t>
            </w:r>
            <w:r w:rsidRPr="00CD697A">
              <w:rPr>
                <w:rFonts w:ascii="Times New Roman" w:hAnsi="Times New Roman" w:cs="Times New Roman"/>
                <w:sz w:val="22"/>
                <w:szCs w:val="22"/>
              </w:rPr>
              <w:t>mong our Indians of the western and southern shores (granting that we call them barbarians and that they are barbarians) there are important kingdoms, large numbers of people who live settled lives in a society, great cities, kings, judges, laws, persons who engage in commerce, buying, selling, lending, and the other c</w:t>
            </w:r>
            <w:r>
              <w:rPr>
                <w:rFonts w:ascii="Times New Roman" w:hAnsi="Times New Roman" w:cs="Times New Roman"/>
                <w:sz w:val="22"/>
                <w:szCs w:val="22"/>
              </w:rPr>
              <w:t xml:space="preserve">ontracts of the law of nations . . . </w:t>
            </w:r>
            <w:r w:rsidRPr="00CD697A">
              <w:rPr>
                <w:rFonts w:ascii="Times New Roman" w:hAnsi="Times New Roman" w:cs="Times New Roman"/>
                <w:sz w:val="22"/>
                <w:szCs w:val="22"/>
              </w:rPr>
              <w:t xml:space="preserve">Reverend Doctor </w:t>
            </w:r>
            <w:proofErr w:type="spellStart"/>
            <w:r w:rsidRPr="00CD697A">
              <w:rPr>
                <w:rFonts w:ascii="Times New Roman" w:hAnsi="Times New Roman" w:cs="Times New Roman"/>
                <w:sz w:val="22"/>
                <w:szCs w:val="22"/>
              </w:rPr>
              <w:t>Sepúlveda</w:t>
            </w:r>
            <w:proofErr w:type="spellEnd"/>
            <w:r w:rsidRPr="00CD697A">
              <w:rPr>
                <w:rFonts w:ascii="Times New Roman" w:hAnsi="Times New Roman" w:cs="Times New Roman"/>
                <w:sz w:val="22"/>
                <w:szCs w:val="22"/>
              </w:rPr>
              <w:t xml:space="preserve"> has spoken wrongly and viciously against peoples like these, either out of malice or ignorance </w:t>
            </w:r>
            <w:r>
              <w:rPr>
                <w:rFonts w:ascii="Times New Roman" w:hAnsi="Times New Roman" w:cs="Times New Roman"/>
                <w:sz w:val="22"/>
                <w:szCs w:val="22"/>
              </w:rPr>
              <w:t xml:space="preserve">. . . </w:t>
            </w:r>
            <w:r w:rsidRPr="00CD697A">
              <w:rPr>
                <w:rFonts w:ascii="Times New Roman" w:hAnsi="Times New Roman" w:cs="Times New Roman"/>
                <w:sz w:val="22"/>
                <w:szCs w:val="22"/>
              </w:rPr>
              <w:t xml:space="preserve">and therefore, has falsely and perhaps irreparably slandered them before the entire world? From the fact that the Indians are barbarians it does not necessarily follow that they are incapable of government and </w:t>
            </w:r>
            <w:proofErr w:type="gramStart"/>
            <w:r w:rsidRPr="00CD697A">
              <w:rPr>
                <w:rFonts w:ascii="Times New Roman" w:hAnsi="Times New Roman" w:cs="Times New Roman"/>
                <w:sz w:val="22"/>
                <w:szCs w:val="22"/>
              </w:rPr>
              <w:t>have to</w:t>
            </w:r>
            <w:proofErr w:type="gramEnd"/>
            <w:r w:rsidRPr="00CD697A">
              <w:rPr>
                <w:rFonts w:ascii="Times New Roman" w:hAnsi="Times New Roman" w:cs="Times New Roman"/>
                <w:sz w:val="22"/>
                <w:szCs w:val="22"/>
              </w:rPr>
              <w:t xml:space="preserve"> be ruled by others, except to be taught about the Catholic faith and to be admitted to the sacraments. They are not ignorant, inhuman, or bestial. Rather, long before they heard the word </w:t>
            </w:r>
            <w:proofErr w:type="gramStart"/>
            <w:r w:rsidRPr="00CD697A">
              <w:rPr>
                <w:rFonts w:ascii="Times New Roman" w:hAnsi="Times New Roman" w:cs="Times New Roman"/>
                <w:sz w:val="22"/>
                <w:szCs w:val="22"/>
              </w:rPr>
              <w:t>Spaniard</w:t>
            </w:r>
            <w:proofErr w:type="gramEnd"/>
            <w:r w:rsidRPr="00CD697A">
              <w:rPr>
                <w:rFonts w:ascii="Times New Roman" w:hAnsi="Times New Roman" w:cs="Times New Roman"/>
                <w:sz w:val="22"/>
                <w:szCs w:val="22"/>
              </w:rPr>
              <w:t xml:space="preserve"> they had properly organized states, wisely ordered by excellent laws, religion and custom . . . Since, therefore, every nation by the eternal law has a ruler or prince, it is wrong for one nation to attack another under pretext of being superior in wisdom or to overthrow other kingdoms. For it acts contrary to the eter</w:t>
            </w:r>
            <w:r>
              <w:rPr>
                <w:rFonts w:ascii="Times New Roman" w:hAnsi="Times New Roman" w:cs="Times New Roman"/>
                <w:sz w:val="22"/>
                <w:szCs w:val="22"/>
              </w:rPr>
              <w:t xml:space="preserve">nal law, as we read in Proverbs . . . </w:t>
            </w:r>
            <w:r w:rsidRPr="00CD697A">
              <w:rPr>
                <w:rFonts w:ascii="Times New Roman" w:hAnsi="Times New Roman" w:cs="Times New Roman"/>
                <w:sz w:val="22"/>
                <w:szCs w:val="22"/>
              </w:rPr>
              <w:t xml:space="preserve"> ‘This is not an act of wisdom, but of great injustice and a lying excuse for plundering others.</w:t>
            </w:r>
            <w:r>
              <w:rPr>
                <w:rFonts w:ascii="Times New Roman" w:hAnsi="Times New Roman" w:cs="Times New Roman"/>
                <w:sz w:val="22"/>
                <w:szCs w:val="22"/>
              </w:rPr>
              <w:t>”</w:t>
            </w:r>
          </w:p>
        </w:tc>
      </w:tr>
    </w:tbl>
    <w:p w14:paraId="2552401A" w14:textId="77777777" w:rsidR="002922F5" w:rsidRPr="00CD697A" w:rsidRDefault="002922F5" w:rsidP="002922F5">
      <w:pPr>
        <w:rPr>
          <w:rFonts w:ascii="Times New Roman" w:hAnsi="Times New Roman" w:cs="Times New Roman"/>
          <w:sz w:val="22"/>
          <w:szCs w:val="22"/>
        </w:rPr>
      </w:pPr>
    </w:p>
    <w:p w14:paraId="5F71E13D" w14:textId="77777777" w:rsidR="00F926E2" w:rsidRDefault="00F926E2"/>
    <w:sectPr w:rsidR="00F926E2" w:rsidSect="002922F5">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2F5"/>
    <w:rsid w:val="002922F5"/>
    <w:rsid w:val="00554E2D"/>
    <w:rsid w:val="005934FC"/>
    <w:rsid w:val="00751B5C"/>
    <w:rsid w:val="00A4155E"/>
    <w:rsid w:val="00A823DC"/>
    <w:rsid w:val="00F92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CC4884"/>
  <w14:defaultImageDpi w14:val="300"/>
  <w15:docId w15:val="{4BDE3F13-E559-DF40-955B-7F5A65A2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22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2F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480</Words>
  <Characters>2738</Characters>
  <Application>Microsoft Office Word</Application>
  <DocSecurity>0</DocSecurity>
  <Lines>22</Lines>
  <Paragraphs>6</Paragraphs>
  <ScaleCrop>false</ScaleCrop>
  <Company>Hofstra</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Singer</dc:creator>
  <cp:keywords/>
  <dc:description/>
  <cp:lastModifiedBy>Alan J. Singer</cp:lastModifiedBy>
  <cp:revision>4</cp:revision>
  <dcterms:created xsi:type="dcterms:W3CDTF">2023-02-02T13:47:00Z</dcterms:created>
  <dcterms:modified xsi:type="dcterms:W3CDTF">2023-07-16T23:45:00Z</dcterms:modified>
</cp:coreProperties>
</file>